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t xml:space="preserve">Финансовые ресурсы и их использование</w:t>
      </w:r>
      <w:r>
        <w:rPr>
          <w:highlight w:val="none"/>
        </w:rPr>
      </w:r>
    </w:p>
    <w:p>
      <w:pPr>
        <w:pStyle w:val="836"/>
        <w:numPr>
          <w:ilvl w:val="0"/>
          <w:numId w:val="1"/>
        </w:numPr>
        <w:jc w:val="left"/>
        <w:rPr>
          <w:highlight w:val="none"/>
        </w:rPr>
      </w:pPr>
      <w:r>
        <w:rPr>
          <w:b/>
          <w:bCs/>
          <w:highlight w:val="none"/>
        </w:rPr>
        <w:t xml:space="preserve">Бюджетное финансирование детского сада состоит:</w:t>
      </w:r>
      <w:r>
        <w:rPr>
          <w:highlight w:val="none"/>
        </w:rPr>
        <w:t xml:space="preserve"> средства областного и местного бюджетов, внебюджетных средств, средства на иные цели.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jc w:val="left"/>
        <w:rPr>
          <w:highlight w:val="none"/>
        </w:rPr>
      </w:pPr>
      <w:r>
        <w:rPr>
          <w:highlight w:val="none"/>
        </w:rPr>
        <w:t xml:space="preserve">Распределение средств бюджета детского сада по источникам их получения:</w:t>
      </w:r>
      <w:r>
        <w:rPr>
          <w:highlight w:val="none"/>
        </w:rPr>
      </w:r>
      <w:r>
        <w:rPr>
          <w:highlight w:val="none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rPr/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Источник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01.01.2022-31.12.2022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01.01.2023-31.12.2023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01.01.2024-31.12.2024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Областной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18292257,94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18214652,50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14932245,20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15587699,96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17012900,89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16121014,36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Иные цели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374777,63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919052,26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169059,00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Внебюджетные средства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5510474,40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6176139,00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6645860,15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Всего: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39765209,93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42322744,65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37868178,71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709" w:firstLine="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</w:pPr>
      <w:r/>
      <w:r/>
    </w:p>
    <w:p>
      <w:pPr>
        <w:jc w:val="left"/>
        <w:rPr>
          <w:highlight w:val="none"/>
        </w:rPr>
      </w:pPr>
      <w:r>
        <w:rPr>
          <w:highlight w:val="none"/>
        </w:rPr>
        <w:t xml:space="preserve">Структура расходов детского сада:  за 2022-2023 годы составила:</w:t>
      </w:r>
      <w:r>
        <w:rPr>
          <w:highlight w:val="none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Показатель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Сумма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Источник финансирования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Оплата труда и начисления на выплаты по оплате труда работников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55275779,19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Смешанное финансирование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Услуги связи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70791,77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Коммунальные услуги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8754384,83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Услуги по содержанию имущества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1017462,81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Смешанное финансирования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Прочие услуги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981167,00 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Смешанное финансирование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О</w:t>
            </w:r>
            <w:r>
              <w:rPr>
                <w:highlight w:val="none"/>
              </w:rPr>
              <w:t xml:space="preserve">плата налогов</w:t>
            </w:r>
            <w:r>
              <w:rPr>
                <w:highlight w:val="none"/>
              </w:rPr>
            </w:r>
            <w:r/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1149319,65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Поставка продуктов питания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10129589,05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Смешанное финансирование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Поставка прочих  материальных запасов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769001,36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Смешанное финансирование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Поставка основных средств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396220,01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Смешанное финансирование</w:t>
            </w:r>
            <w:r>
              <w:rPr>
                <w:highlight w:val="none"/>
              </w:rPr>
            </w:r>
          </w:p>
        </w:tc>
      </w:tr>
    </w:tbl>
    <w:p>
      <w:pPr>
        <w:jc w:val="left"/>
      </w:pPr>
      <w:r/>
      <w:r/>
    </w:p>
    <w:p>
      <w:pPr>
        <w:jc w:val="left"/>
      </w:pPr>
      <w:r>
        <w:rPr>
          <w:b/>
          <w:bCs/>
          <w:highlight w:val="none"/>
        </w:rPr>
        <w:t xml:space="preserve">2</w:t>
      </w:r>
      <w:r>
        <w:rPr>
          <w:highlight w:val="none"/>
        </w:rPr>
        <w:t xml:space="preserve">.</w:t>
      </w:r>
      <w:r>
        <w:rPr>
          <w:b/>
          <w:bCs/>
          <w:highlight w:val="none"/>
        </w:rPr>
        <w:t xml:space="preserve">Наличие и стоимость платных дополнительных услуг:</w:t>
      </w:r>
      <w:r>
        <w:rPr>
          <w:highlight w:val="none"/>
        </w:rPr>
        <w:t xml:space="preserve"> в отчетном периоде детский сад не оказывал платные дополнительные услуги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2024-04-01T02:38:30Z</dcterms:modified>
</cp:coreProperties>
</file>